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B2DA0">
      <w:pPr>
        <w:spacing w:before="156" w:beforeLines="50" w:after="156" w:afterLines="50" w:line="480" w:lineRule="exact"/>
        <w:ind w:left="558" w:hanging="558" w:hangingChars="155"/>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马克思主义</w:t>
      </w:r>
      <w:r>
        <w:rPr>
          <w:rFonts w:hint="eastAsia" w:ascii="方正小标宋简体" w:hAnsi="方正小标宋简体" w:eastAsia="方正小标宋简体" w:cs="方正小标宋简体"/>
          <w:bCs/>
          <w:sz w:val="36"/>
          <w:szCs w:val="36"/>
        </w:rPr>
        <w:t>学院</w:t>
      </w:r>
      <w:r>
        <w:rPr>
          <w:rFonts w:hint="eastAsia" w:ascii="方正小标宋简体" w:hAnsi="方正小标宋简体" w:eastAsia="方正小标宋简体" w:cs="方正小标宋简体"/>
          <w:bCs/>
          <w:sz w:val="36"/>
          <w:szCs w:val="36"/>
          <w:lang w:val="en-US" w:eastAsia="zh-CN"/>
        </w:rPr>
        <w:t>马克思主义理论</w:t>
      </w:r>
      <w:r>
        <w:rPr>
          <w:rFonts w:hint="eastAsia" w:ascii="方正小标宋简体" w:hAnsi="方正小标宋简体" w:eastAsia="方正小标宋简体" w:cs="方正小标宋简体"/>
          <w:bCs/>
          <w:sz w:val="36"/>
          <w:szCs w:val="36"/>
        </w:rPr>
        <w:t>微专业</w:t>
      </w:r>
    </w:p>
    <w:p w14:paraId="1FBEA458">
      <w:pPr>
        <w:spacing w:before="156" w:beforeLines="50" w:after="156" w:afterLines="50" w:line="480" w:lineRule="exact"/>
        <w:ind w:left="558" w:hanging="558" w:hangingChars="155"/>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人才培养方案</w:t>
      </w:r>
    </w:p>
    <w:p w14:paraId="76D41B57">
      <w:pPr>
        <w:widowControl/>
        <w:spacing w:after="156" w:line="0" w:lineRule="atLeast"/>
        <w:ind w:firstLine="560" w:firstLineChars="200"/>
        <w:jc w:val="left"/>
        <w:rPr>
          <w:rFonts w:ascii="黑体" w:hAnsi="黑体" w:eastAsia="黑体" w:cs="黑体"/>
          <w:bCs/>
          <w:sz w:val="28"/>
          <w:szCs w:val="28"/>
        </w:rPr>
      </w:pPr>
    </w:p>
    <w:p w14:paraId="0F0F5949">
      <w:pPr>
        <w:widowControl/>
        <w:spacing w:after="156" w:line="0" w:lineRule="atLeast"/>
        <w:ind w:firstLine="560" w:firstLineChars="200"/>
        <w:jc w:val="left"/>
        <w:rPr>
          <w:rFonts w:ascii="黑体" w:hAnsi="黑体" w:eastAsia="黑体" w:cs="黑体"/>
          <w:bCs/>
          <w:sz w:val="28"/>
          <w:szCs w:val="28"/>
        </w:rPr>
      </w:pPr>
      <w:r>
        <w:rPr>
          <w:rFonts w:hint="eastAsia" w:ascii="黑体" w:hAnsi="黑体" w:eastAsia="黑体" w:cs="黑体"/>
          <w:bCs/>
          <w:sz w:val="28"/>
          <w:szCs w:val="28"/>
        </w:rPr>
        <w:t>一、培养目标</w:t>
      </w:r>
    </w:p>
    <w:p w14:paraId="326A3CDE">
      <w:pPr>
        <w:widowControl/>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面向国家“马克思主义理论”人才战略需求，依托“新文科”建设发展需要，培养政治立场坚定、家国情怀浓厚、哲学社会科学底蕴深厚，精通马克思主义经典文本、精通中国共产党历史和中国共产党创新理论，融通马克思主义理论、哲学、政治学以及其他人文社科领域专业知识，胜任国家各级党政机关、企业、学校、科研机构等单位的管理、宣传、教学、科研及思想政治工作的高素质复合型本研一体化人才。</w:t>
      </w:r>
    </w:p>
    <w:p w14:paraId="48BEA0EE">
      <w:pPr>
        <w:widowControl/>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培养目标预期：</w:t>
      </w:r>
    </w:p>
    <w:p w14:paraId="378BDEC3">
      <w:pPr>
        <w:widowControl/>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1.学习能力：具有扎实的马克思主义理论功底，成为能够在马克思主义理论或其它学科领域继续学习深造的“学习型”人才。</w:t>
      </w:r>
    </w:p>
    <w:p w14:paraId="65AED4D4">
      <w:pPr>
        <w:widowControl/>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2.创新能力：具有较强的马克思主义理论学术创新思维和学术创新能力，成为社会发展建设需要的“创新型”人才。</w:t>
      </w:r>
    </w:p>
    <w:p w14:paraId="7DFB7738">
      <w:pPr>
        <w:widowControl/>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3.应用能力：具有熟练运用马克思主义的立场、观点和方法分析问题、解决问题的能力，成为理论与实践相结合的“应用型”人才。</w:t>
      </w:r>
    </w:p>
    <w:p w14:paraId="20F0526C">
      <w:pPr>
        <w:widowControl/>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4.研究能力：具有深入宣传、阐释和研究马克思主义理论的潜在能力，成为能在高等院校、科研院所、党政机关、群团组织从事马克思主义理论科学研究的“研究型”人才。</w:t>
      </w:r>
    </w:p>
    <w:p w14:paraId="07C8CDDE">
      <w:pPr>
        <w:widowControl/>
        <w:spacing w:after="156" w:line="0" w:lineRule="atLeast"/>
        <w:ind w:firstLine="560" w:firstLineChars="200"/>
        <w:jc w:val="left"/>
        <w:rPr>
          <w:rFonts w:ascii="黑体" w:hAnsi="黑体" w:eastAsia="黑体" w:cs="黑体"/>
          <w:bCs/>
          <w:sz w:val="28"/>
          <w:szCs w:val="28"/>
        </w:rPr>
      </w:pPr>
      <w:r>
        <w:rPr>
          <w:rFonts w:hint="eastAsia" w:ascii="黑体" w:hAnsi="黑体" w:eastAsia="黑体" w:cs="黑体"/>
          <w:bCs/>
          <w:sz w:val="28"/>
          <w:szCs w:val="28"/>
        </w:rPr>
        <w:t>二、毕业要求</w:t>
      </w:r>
    </w:p>
    <w:p w14:paraId="224AC532">
      <w:pPr>
        <w:widowControl/>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本专业秉持“宽口径、厚基础、强能力、重创新”的人才培养模式要求，系统化学习马克思主义理论，接受马克思主义理论的专业技能与方法的训练，掌握从事马克思主义理论相关工作的能力。毕业生应具备以下几方面的理论知识和能力：</w:t>
      </w:r>
    </w:p>
    <w:p w14:paraId="3132373A">
      <w:pPr>
        <w:widowControl/>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1.政治立场鲜明，理想信念坚定，家国情怀深厚，社会责任感强。</w:t>
      </w:r>
    </w:p>
    <w:p w14:paraId="3030D13D">
      <w:pPr>
        <w:widowControl/>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2.专业基础扎实，掌握专业理论前沿和发展动态。</w:t>
      </w:r>
    </w:p>
    <w:p w14:paraId="0F0BAFF2">
      <w:pPr>
        <w:widowControl/>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3.学习与创新能力强，具备可持续发展能力。</w:t>
      </w:r>
    </w:p>
    <w:p w14:paraId="4AEEA30D">
      <w:pPr>
        <w:widowControl/>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4.具备批判思维能力，善于解决实际问题。</w:t>
      </w:r>
    </w:p>
    <w:p w14:paraId="1B939917">
      <w:pPr>
        <w:spacing w:before="156" w:beforeLines="50" w:after="156" w:afterLines="50" w:line="480" w:lineRule="exact"/>
        <w:ind w:firstLine="560" w:firstLineChars="200"/>
        <w:rPr>
          <w:rFonts w:ascii="宋体" w:hAnsi="宋体"/>
          <w:b/>
          <w:sz w:val="28"/>
          <w:szCs w:val="28"/>
        </w:rPr>
      </w:pPr>
      <w:r>
        <w:rPr>
          <w:rFonts w:hint="eastAsia" w:ascii="黑体" w:hAnsi="黑体" w:eastAsia="黑体" w:cs="黑体"/>
          <w:bCs/>
          <w:sz w:val="28"/>
          <w:szCs w:val="28"/>
        </w:rPr>
        <w:t>三、招生对象与条件</w:t>
      </w:r>
    </w:p>
    <w:p w14:paraId="525EA047">
      <w:pPr>
        <w:widowControl/>
        <w:ind w:firstLine="560" w:firstLineChars="200"/>
        <w:rPr>
          <w:rFonts w:hint="default" w:ascii="仿宋_GB2312" w:hAnsi="Times New Roman" w:eastAsia="仿宋_GB2312" w:cs="Times New Roman"/>
          <w:color w:val="0000FF"/>
          <w:sz w:val="28"/>
          <w:szCs w:val="28"/>
          <w:lang w:val="en-US" w:eastAsia="zh-CN"/>
        </w:rPr>
      </w:pPr>
      <w:r>
        <w:rPr>
          <w:rFonts w:hint="eastAsia" w:ascii="仿宋_GB2312" w:hAnsi="Times New Roman" w:eastAsia="仿宋_GB2312" w:cs="Times New Roman"/>
          <w:color w:val="auto"/>
          <w:sz w:val="28"/>
          <w:szCs w:val="28"/>
          <w:lang w:val="en-US" w:eastAsia="zh-CN"/>
        </w:rPr>
        <w:t>大二</w:t>
      </w:r>
      <w:r>
        <w:rPr>
          <w:rFonts w:hint="eastAsia" w:ascii="仿宋_GB2312" w:eastAsia="仿宋_GB2312" w:cs="Times New Roman"/>
          <w:color w:val="auto"/>
          <w:sz w:val="28"/>
          <w:szCs w:val="28"/>
          <w:lang w:val="en-US" w:eastAsia="zh-CN"/>
        </w:rPr>
        <w:t>及</w:t>
      </w:r>
      <w:r>
        <w:rPr>
          <w:rFonts w:hint="eastAsia" w:ascii="仿宋_GB2312" w:hAnsi="Times New Roman" w:eastAsia="仿宋_GB2312" w:cs="Times New Roman"/>
          <w:color w:val="auto"/>
          <w:sz w:val="28"/>
          <w:szCs w:val="28"/>
          <w:lang w:val="en-US" w:eastAsia="zh-CN"/>
        </w:rPr>
        <w:t>以上全校各专业</w:t>
      </w:r>
      <w:r>
        <w:rPr>
          <w:rFonts w:hint="eastAsia" w:ascii="仿宋_GB2312" w:eastAsia="仿宋_GB2312" w:cs="Times New Roman"/>
          <w:color w:val="auto"/>
          <w:sz w:val="28"/>
          <w:szCs w:val="28"/>
          <w:lang w:val="en-US" w:eastAsia="zh-CN"/>
        </w:rPr>
        <w:t>学生，热衷于马克思主义理论学习及研究。</w:t>
      </w:r>
    </w:p>
    <w:p w14:paraId="09EE98B0">
      <w:pPr>
        <w:spacing w:before="156" w:beforeLines="50" w:after="156" w:afterLines="50" w:line="48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四、学分与证书</w:t>
      </w:r>
    </w:p>
    <w:p w14:paraId="519251A0">
      <w:pPr>
        <w:widowControl/>
        <w:ind w:firstLine="560" w:firstLineChars="200"/>
        <w:rPr>
          <w:rFonts w:ascii="宋体" w:hAnsi="宋体"/>
          <w:bCs/>
          <w:sz w:val="28"/>
          <w:szCs w:val="28"/>
        </w:rPr>
      </w:pPr>
      <w:r>
        <w:rPr>
          <w:rFonts w:hint="eastAsia" w:ascii="仿宋_GB2312" w:eastAsia="仿宋_GB2312"/>
          <w:color w:val="auto"/>
          <w:sz w:val="28"/>
          <w:szCs w:val="28"/>
          <w:lang w:val="en-US" w:eastAsia="zh-CN"/>
        </w:rPr>
        <w:t>学生在本科毕业或结业离校前，修读完成微专业培养方案规定的课程，且成绩全部合格，获得相应学分，学校颁发微专业证书。</w:t>
      </w:r>
    </w:p>
    <w:p w14:paraId="73DD1E29">
      <w:pPr>
        <w:spacing w:before="156" w:beforeLines="50" w:after="156" w:afterLines="50" w:line="48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五、指导性教学计划进度表</w:t>
      </w:r>
    </w:p>
    <w:p w14:paraId="6C2786C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黑体" w:hAnsi="黑体" w:eastAsia="黑体" w:cs="黑体"/>
          <w:bCs/>
          <w:sz w:val="28"/>
          <w:szCs w:val="28"/>
        </w:rPr>
      </w:pPr>
      <w:r>
        <w:rPr>
          <w:rFonts w:hint="eastAsia" w:ascii="黑体" w:hAnsi="黑体" w:eastAsia="黑体" w:cs="黑体"/>
          <w:bCs/>
          <w:sz w:val="28"/>
          <w:szCs w:val="28"/>
          <w:lang w:val="en-US" w:eastAsia="zh-CN"/>
        </w:rPr>
        <w:t>马克思主义理论</w:t>
      </w:r>
      <w:r>
        <w:rPr>
          <w:rFonts w:hint="eastAsia" w:ascii="黑体" w:hAnsi="黑体" w:eastAsia="黑体" w:cs="黑体"/>
          <w:bCs/>
          <w:sz w:val="28"/>
          <w:szCs w:val="28"/>
        </w:rPr>
        <w:t>微专业指导性教学计划进度表</w:t>
      </w:r>
    </w:p>
    <w:tbl>
      <w:tblPr>
        <w:tblStyle w:val="2"/>
        <w:tblpPr w:leftFromText="180" w:rightFromText="180" w:vertAnchor="text" w:horzAnchor="page" w:tblpX="1383" w:tblpY="110"/>
        <w:tblOverlap w:val="never"/>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8"/>
        <w:gridCol w:w="621"/>
        <w:gridCol w:w="1081"/>
        <w:gridCol w:w="823"/>
        <w:gridCol w:w="829"/>
        <w:gridCol w:w="1049"/>
        <w:gridCol w:w="1096"/>
        <w:gridCol w:w="1140"/>
      </w:tblGrid>
      <w:tr w14:paraId="1B2D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89" w:type="pct"/>
            <w:vMerge w:val="restart"/>
            <w:vAlign w:val="center"/>
          </w:tcPr>
          <w:p w14:paraId="6EB056A5">
            <w:pPr>
              <w:widowControl/>
              <w:jc w:val="center"/>
              <w:rPr>
                <w:rFonts w:ascii="黑体" w:hAnsi="黑体" w:eastAsia="黑体"/>
                <w:bCs/>
                <w:sz w:val="21"/>
                <w:szCs w:val="21"/>
              </w:rPr>
            </w:pPr>
            <w:r>
              <w:rPr>
                <w:rFonts w:hint="eastAsia" w:ascii="黑体" w:hAnsi="黑体" w:eastAsia="黑体"/>
                <w:bCs/>
                <w:sz w:val="21"/>
                <w:szCs w:val="21"/>
              </w:rPr>
              <w:t>课程名称</w:t>
            </w:r>
          </w:p>
        </w:tc>
        <w:tc>
          <w:tcPr>
            <w:tcW w:w="328" w:type="pct"/>
            <w:vMerge w:val="restart"/>
            <w:vAlign w:val="center"/>
          </w:tcPr>
          <w:p w14:paraId="0DDE8EF5">
            <w:pPr>
              <w:widowControl/>
              <w:jc w:val="center"/>
              <w:rPr>
                <w:rFonts w:ascii="黑体" w:hAnsi="黑体" w:eastAsia="黑体"/>
                <w:bCs/>
                <w:spacing w:val="20"/>
                <w:sz w:val="21"/>
                <w:szCs w:val="21"/>
              </w:rPr>
            </w:pPr>
            <w:r>
              <w:rPr>
                <w:rFonts w:hint="eastAsia" w:ascii="黑体" w:hAnsi="黑体" w:eastAsia="黑体"/>
                <w:bCs/>
                <w:sz w:val="21"/>
                <w:szCs w:val="21"/>
              </w:rPr>
              <w:t>学分</w:t>
            </w:r>
          </w:p>
        </w:tc>
        <w:tc>
          <w:tcPr>
            <w:tcW w:w="571" w:type="pct"/>
            <w:vMerge w:val="restart"/>
            <w:vAlign w:val="center"/>
          </w:tcPr>
          <w:p w14:paraId="5DA5090D">
            <w:pPr>
              <w:widowControl/>
              <w:jc w:val="center"/>
              <w:rPr>
                <w:rFonts w:ascii="黑体" w:hAnsi="黑体" w:eastAsia="黑体"/>
                <w:bCs/>
                <w:sz w:val="21"/>
                <w:szCs w:val="21"/>
              </w:rPr>
            </w:pPr>
            <w:r>
              <w:rPr>
                <w:rFonts w:ascii="黑体" w:hAnsi="黑体" w:eastAsia="黑体"/>
                <w:bCs/>
                <w:sz w:val="21"/>
                <w:szCs w:val="21"/>
              </w:rPr>
              <w:t>总学时</w:t>
            </w:r>
          </w:p>
        </w:tc>
        <w:tc>
          <w:tcPr>
            <w:tcW w:w="873" w:type="pct"/>
            <w:gridSpan w:val="2"/>
            <w:vAlign w:val="center"/>
          </w:tcPr>
          <w:p w14:paraId="7D74F6D9">
            <w:pPr>
              <w:widowControl/>
              <w:snapToGrid w:val="0"/>
              <w:jc w:val="center"/>
              <w:rPr>
                <w:rFonts w:hint="default" w:ascii="黑体" w:hAnsi="黑体" w:eastAsia="黑体"/>
                <w:bCs/>
                <w:sz w:val="21"/>
                <w:szCs w:val="21"/>
                <w:lang w:val="en-US" w:eastAsia="zh-CN"/>
              </w:rPr>
            </w:pPr>
            <w:r>
              <w:rPr>
                <w:rFonts w:hint="eastAsia" w:ascii="黑体" w:hAnsi="黑体" w:eastAsia="黑体"/>
                <w:bCs/>
                <w:sz w:val="21"/>
                <w:szCs w:val="21"/>
                <w:lang w:val="en-US" w:eastAsia="zh-CN"/>
              </w:rPr>
              <w:t>学时分配</w:t>
            </w:r>
          </w:p>
        </w:tc>
        <w:tc>
          <w:tcPr>
            <w:tcW w:w="554" w:type="pct"/>
            <w:vMerge w:val="restart"/>
            <w:vAlign w:val="center"/>
          </w:tcPr>
          <w:p w14:paraId="21E5D574">
            <w:pPr>
              <w:widowControl/>
              <w:snapToGrid w:val="0"/>
              <w:jc w:val="center"/>
              <w:rPr>
                <w:rFonts w:hint="eastAsia" w:ascii="黑体" w:hAnsi="黑体" w:eastAsia="黑体"/>
                <w:bCs/>
                <w:sz w:val="21"/>
                <w:szCs w:val="21"/>
              </w:rPr>
            </w:pPr>
            <w:r>
              <w:rPr>
                <w:rFonts w:hint="eastAsia" w:ascii="黑体" w:hAnsi="黑体" w:eastAsia="黑体"/>
                <w:bCs/>
                <w:sz w:val="21"/>
                <w:szCs w:val="21"/>
              </w:rPr>
              <w:t>课程性质</w:t>
            </w:r>
          </w:p>
        </w:tc>
        <w:tc>
          <w:tcPr>
            <w:tcW w:w="579" w:type="pct"/>
            <w:vMerge w:val="restart"/>
            <w:vAlign w:val="center"/>
          </w:tcPr>
          <w:p w14:paraId="5660F74A">
            <w:pPr>
              <w:widowControl/>
              <w:snapToGrid w:val="0"/>
              <w:jc w:val="center"/>
              <w:rPr>
                <w:rFonts w:ascii="黑体" w:hAnsi="黑体" w:eastAsia="黑体"/>
                <w:bCs/>
                <w:sz w:val="21"/>
                <w:szCs w:val="21"/>
              </w:rPr>
            </w:pPr>
            <w:r>
              <w:rPr>
                <w:rFonts w:hint="eastAsia" w:ascii="黑体" w:hAnsi="黑体" w:eastAsia="黑体"/>
                <w:bCs/>
                <w:sz w:val="21"/>
                <w:szCs w:val="21"/>
              </w:rPr>
              <w:t>考核方式</w:t>
            </w:r>
          </w:p>
        </w:tc>
        <w:tc>
          <w:tcPr>
            <w:tcW w:w="602" w:type="pct"/>
            <w:vMerge w:val="restart"/>
            <w:vAlign w:val="center"/>
          </w:tcPr>
          <w:p w14:paraId="5BEB95E2">
            <w:pPr>
              <w:widowControl/>
              <w:snapToGrid w:val="0"/>
              <w:jc w:val="center"/>
              <w:rPr>
                <w:rFonts w:ascii="黑体" w:hAnsi="黑体" w:eastAsia="黑体"/>
                <w:bCs/>
                <w:sz w:val="21"/>
                <w:szCs w:val="21"/>
              </w:rPr>
            </w:pPr>
            <w:r>
              <w:rPr>
                <w:rFonts w:ascii="黑体" w:hAnsi="黑体" w:eastAsia="黑体"/>
                <w:bCs/>
                <w:sz w:val="21"/>
                <w:szCs w:val="21"/>
              </w:rPr>
              <w:t>开课</w:t>
            </w:r>
            <w:r>
              <w:rPr>
                <w:rFonts w:hint="eastAsia" w:ascii="黑体" w:hAnsi="黑体" w:eastAsia="黑体"/>
                <w:bCs/>
                <w:spacing w:val="20"/>
                <w:sz w:val="21"/>
                <w:szCs w:val="21"/>
              </w:rPr>
              <w:t>学期</w:t>
            </w:r>
          </w:p>
        </w:tc>
      </w:tr>
      <w:tr w14:paraId="001C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9" w:type="pct"/>
            <w:vMerge w:val="continue"/>
            <w:vAlign w:val="center"/>
          </w:tcPr>
          <w:p w14:paraId="342EB2CF">
            <w:pPr>
              <w:widowControl/>
              <w:jc w:val="center"/>
              <w:rPr>
                <w:rFonts w:hint="eastAsia" w:ascii="黑体" w:hAnsi="黑体" w:eastAsia="黑体"/>
                <w:bCs/>
                <w:sz w:val="21"/>
                <w:szCs w:val="21"/>
              </w:rPr>
            </w:pPr>
          </w:p>
        </w:tc>
        <w:tc>
          <w:tcPr>
            <w:tcW w:w="328" w:type="pct"/>
            <w:vMerge w:val="continue"/>
            <w:tcBorders>
              <w:bottom w:val="single" w:color="auto" w:sz="4" w:space="0"/>
            </w:tcBorders>
            <w:vAlign w:val="center"/>
          </w:tcPr>
          <w:p w14:paraId="45A740BB">
            <w:pPr>
              <w:widowControl/>
              <w:jc w:val="center"/>
              <w:rPr>
                <w:rFonts w:hint="eastAsia" w:ascii="黑体" w:hAnsi="黑体" w:eastAsia="黑体"/>
                <w:bCs/>
                <w:sz w:val="21"/>
                <w:szCs w:val="21"/>
              </w:rPr>
            </w:pPr>
          </w:p>
        </w:tc>
        <w:tc>
          <w:tcPr>
            <w:tcW w:w="571" w:type="pct"/>
            <w:vMerge w:val="continue"/>
            <w:vAlign w:val="center"/>
          </w:tcPr>
          <w:p w14:paraId="1EE8F878">
            <w:pPr>
              <w:widowControl/>
              <w:jc w:val="center"/>
              <w:rPr>
                <w:rFonts w:ascii="黑体" w:hAnsi="黑体" w:eastAsia="黑体"/>
                <w:bCs/>
                <w:sz w:val="21"/>
                <w:szCs w:val="21"/>
              </w:rPr>
            </w:pPr>
          </w:p>
        </w:tc>
        <w:tc>
          <w:tcPr>
            <w:tcW w:w="435" w:type="pct"/>
            <w:vAlign w:val="center"/>
          </w:tcPr>
          <w:p w14:paraId="28EB790B">
            <w:pPr>
              <w:widowControl/>
              <w:snapToGrid w:val="0"/>
              <w:jc w:val="center"/>
              <w:rPr>
                <w:rFonts w:hint="eastAsia" w:ascii="黑体" w:hAnsi="黑体" w:eastAsia="黑体"/>
                <w:bCs/>
                <w:sz w:val="21"/>
                <w:szCs w:val="21"/>
                <w:lang w:val="en-US" w:eastAsia="zh-CN"/>
              </w:rPr>
            </w:pPr>
            <w:r>
              <w:rPr>
                <w:rFonts w:hint="eastAsia" w:ascii="黑体" w:hAnsi="黑体" w:eastAsia="黑体"/>
                <w:bCs/>
                <w:sz w:val="21"/>
                <w:szCs w:val="21"/>
                <w:lang w:val="en-US" w:eastAsia="zh-CN"/>
              </w:rPr>
              <w:t>理论</w:t>
            </w:r>
          </w:p>
        </w:tc>
        <w:tc>
          <w:tcPr>
            <w:tcW w:w="438" w:type="pct"/>
            <w:vAlign w:val="center"/>
          </w:tcPr>
          <w:p w14:paraId="4C93E7FD">
            <w:pPr>
              <w:widowControl/>
              <w:snapToGrid w:val="0"/>
              <w:jc w:val="center"/>
              <w:rPr>
                <w:rFonts w:hint="eastAsia" w:ascii="黑体" w:hAnsi="黑体" w:eastAsia="黑体"/>
                <w:bCs/>
                <w:sz w:val="21"/>
                <w:szCs w:val="21"/>
                <w:lang w:val="en-US" w:eastAsia="zh-CN"/>
              </w:rPr>
            </w:pPr>
            <w:r>
              <w:rPr>
                <w:rFonts w:hint="eastAsia" w:ascii="黑体" w:hAnsi="黑体" w:eastAsia="黑体"/>
                <w:bCs/>
                <w:sz w:val="21"/>
                <w:szCs w:val="21"/>
                <w:lang w:val="en-US" w:eastAsia="zh-CN"/>
              </w:rPr>
              <w:t>实践</w:t>
            </w:r>
          </w:p>
        </w:tc>
        <w:tc>
          <w:tcPr>
            <w:tcW w:w="554" w:type="pct"/>
            <w:vMerge w:val="continue"/>
            <w:vAlign w:val="center"/>
          </w:tcPr>
          <w:p w14:paraId="03F33C61">
            <w:pPr>
              <w:widowControl/>
              <w:snapToGrid w:val="0"/>
              <w:jc w:val="center"/>
              <w:rPr>
                <w:rFonts w:hint="eastAsia" w:ascii="黑体" w:hAnsi="黑体" w:eastAsia="黑体"/>
                <w:bCs/>
                <w:sz w:val="21"/>
                <w:szCs w:val="21"/>
              </w:rPr>
            </w:pPr>
          </w:p>
        </w:tc>
        <w:tc>
          <w:tcPr>
            <w:tcW w:w="579" w:type="pct"/>
            <w:vMerge w:val="continue"/>
            <w:tcBorders>
              <w:bottom w:val="single" w:color="auto" w:sz="4" w:space="0"/>
            </w:tcBorders>
            <w:vAlign w:val="center"/>
          </w:tcPr>
          <w:p w14:paraId="73647BF9">
            <w:pPr>
              <w:widowControl/>
              <w:snapToGrid w:val="0"/>
              <w:jc w:val="center"/>
              <w:rPr>
                <w:rFonts w:hint="eastAsia" w:ascii="黑体" w:hAnsi="黑体" w:eastAsia="黑体"/>
                <w:bCs/>
                <w:sz w:val="21"/>
                <w:szCs w:val="21"/>
              </w:rPr>
            </w:pPr>
          </w:p>
        </w:tc>
        <w:tc>
          <w:tcPr>
            <w:tcW w:w="602" w:type="pct"/>
            <w:vMerge w:val="continue"/>
            <w:tcBorders>
              <w:bottom w:val="single" w:color="auto" w:sz="4" w:space="0"/>
            </w:tcBorders>
            <w:vAlign w:val="center"/>
          </w:tcPr>
          <w:p w14:paraId="2A257353">
            <w:pPr>
              <w:widowControl/>
              <w:snapToGrid w:val="0"/>
              <w:jc w:val="center"/>
              <w:rPr>
                <w:rFonts w:ascii="黑体" w:hAnsi="黑体" w:eastAsia="黑体"/>
                <w:bCs/>
                <w:sz w:val="21"/>
                <w:szCs w:val="21"/>
              </w:rPr>
            </w:pPr>
          </w:p>
        </w:tc>
      </w:tr>
      <w:tr w14:paraId="4CCD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9" w:type="pct"/>
            <w:vAlign w:val="center"/>
          </w:tcPr>
          <w:p w14:paraId="1E3619A3">
            <w:pPr>
              <w:widowControl/>
              <w:jc w:val="center"/>
              <w:rPr>
                <w:rFonts w:hint="default" w:ascii="仿宋_GB2312" w:hAnsi="仿宋_GB2312" w:eastAsia="仿宋_GB2312" w:cs="仿宋_GB2312"/>
                <w:b w:val="0"/>
                <w:bCs/>
                <w:spacing w:val="20"/>
                <w:sz w:val="21"/>
                <w:szCs w:val="21"/>
                <w:lang w:val="en-US" w:eastAsia="zh-CN"/>
              </w:rPr>
            </w:pPr>
            <w:bookmarkStart w:id="0" w:name="_GoBack" w:colFirst="7" w:colLast="7"/>
            <w:r>
              <w:rPr>
                <w:rFonts w:hint="eastAsia" w:ascii="仿宋_GB2312" w:hAnsi="仿宋_GB2312" w:eastAsia="仿宋_GB2312" w:cs="仿宋_GB2312"/>
                <w:b w:val="0"/>
                <w:bCs/>
                <w:spacing w:val="20"/>
                <w:sz w:val="21"/>
                <w:szCs w:val="21"/>
                <w:lang w:val="en-US" w:eastAsia="zh-CN"/>
              </w:rPr>
              <w:t>马克思主义基本原理</w:t>
            </w:r>
          </w:p>
        </w:tc>
        <w:tc>
          <w:tcPr>
            <w:tcW w:w="328" w:type="pct"/>
            <w:vAlign w:val="center"/>
          </w:tcPr>
          <w:p w14:paraId="50F0AD2A">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3</w:t>
            </w:r>
          </w:p>
        </w:tc>
        <w:tc>
          <w:tcPr>
            <w:tcW w:w="571" w:type="pct"/>
            <w:vAlign w:val="center"/>
          </w:tcPr>
          <w:p w14:paraId="76D14EA1">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45</w:t>
            </w:r>
          </w:p>
        </w:tc>
        <w:tc>
          <w:tcPr>
            <w:tcW w:w="435" w:type="pct"/>
            <w:vAlign w:val="center"/>
          </w:tcPr>
          <w:p w14:paraId="7D50F646">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42</w:t>
            </w:r>
          </w:p>
        </w:tc>
        <w:tc>
          <w:tcPr>
            <w:tcW w:w="438" w:type="pct"/>
            <w:vAlign w:val="center"/>
          </w:tcPr>
          <w:p w14:paraId="7BF21A91">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3</w:t>
            </w:r>
          </w:p>
        </w:tc>
        <w:tc>
          <w:tcPr>
            <w:tcW w:w="554" w:type="pct"/>
            <w:vAlign w:val="center"/>
          </w:tcPr>
          <w:p w14:paraId="2162D3C2">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必修</w:t>
            </w:r>
          </w:p>
        </w:tc>
        <w:tc>
          <w:tcPr>
            <w:tcW w:w="579" w:type="pct"/>
            <w:vAlign w:val="center"/>
          </w:tcPr>
          <w:p w14:paraId="5750A13A">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考查</w:t>
            </w:r>
          </w:p>
        </w:tc>
        <w:tc>
          <w:tcPr>
            <w:tcW w:w="602" w:type="pct"/>
            <w:vAlign w:val="center"/>
          </w:tcPr>
          <w:p w14:paraId="0C463A4A">
            <w:pPr>
              <w:widowControl/>
              <w:jc w:val="center"/>
              <w:rPr>
                <w:rFonts w:hint="default" w:ascii="仿宋_GB2312" w:hAnsi="仿宋_GB2312" w:eastAsia="仿宋_GB2312" w:cs="仿宋_GB2312"/>
                <w:b w:val="0"/>
                <w:bCs/>
                <w:color w:val="0000FF"/>
                <w:spacing w:val="20"/>
                <w:sz w:val="21"/>
                <w:szCs w:val="21"/>
                <w:lang w:val="en-US" w:eastAsia="zh-CN"/>
              </w:rPr>
            </w:pPr>
            <w:r>
              <w:rPr>
                <w:rFonts w:hint="eastAsia" w:ascii="仿宋_GB2312" w:hAnsi="仿宋_GB2312" w:eastAsia="仿宋_GB2312" w:cs="仿宋_GB2312"/>
                <w:b w:val="0"/>
                <w:bCs/>
                <w:color w:val="0000FF"/>
                <w:spacing w:val="20"/>
                <w:sz w:val="21"/>
                <w:szCs w:val="21"/>
                <w:lang w:val="en-US" w:eastAsia="zh-CN"/>
              </w:rPr>
              <w:t>春季学期</w:t>
            </w:r>
          </w:p>
        </w:tc>
      </w:tr>
      <w:tr w14:paraId="0FC3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9" w:type="pct"/>
            <w:vAlign w:val="center"/>
          </w:tcPr>
          <w:p w14:paraId="7E9DA6F2">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中国共产党史</w:t>
            </w:r>
          </w:p>
        </w:tc>
        <w:tc>
          <w:tcPr>
            <w:tcW w:w="328" w:type="pct"/>
            <w:vAlign w:val="center"/>
          </w:tcPr>
          <w:p w14:paraId="155C6D48">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1.5</w:t>
            </w:r>
          </w:p>
        </w:tc>
        <w:tc>
          <w:tcPr>
            <w:tcW w:w="571" w:type="pct"/>
            <w:vAlign w:val="center"/>
          </w:tcPr>
          <w:p w14:paraId="06A088B4">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22.5</w:t>
            </w:r>
          </w:p>
        </w:tc>
        <w:tc>
          <w:tcPr>
            <w:tcW w:w="435" w:type="pct"/>
            <w:vAlign w:val="center"/>
          </w:tcPr>
          <w:p w14:paraId="54C3C5B3">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20</w:t>
            </w:r>
          </w:p>
        </w:tc>
        <w:tc>
          <w:tcPr>
            <w:tcW w:w="438" w:type="pct"/>
            <w:vAlign w:val="center"/>
          </w:tcPr>
          <w:p w14:paraId="21E87427">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2.5</w:t>
            </w:r>
          </w:p>
        </w:tc>
        <w:tc>
          <w:tcPr>
            <w:tcW w:w="554" w:type="pct"/>
            <w:shd w:val="clear" w:color="auto" w:fill="auto"/>
            <w:vAlign w:val="center"/>
          </w:tcPr>
          <w:p w14:paraId="2A3C53B3">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必修</w:t>
            </w:r>
          </w:p>
        </w:tc>
        <w:tc>
          <w:tcPr>
            <w:tcW w:w="579" w:type="pct"/>
            <w:shd w:val="clear" w:color="auto" w:fill="auto"/>
            <w:vAlign w:val="center"/>
          </w:tcPr>
          <w:p w14:paraId="01229552">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考查</w:t>
            </w:r>
          </w:p>
        </w:tc>
        <w:tc>
          <w:tcPr>
            <w:tcW w:w="602" w:type="pct"/>
            <w:shd w:val="clear" w:color="auto" w:fill="auto"/>
            <w:vAlign w:val="center"/>
          </w:tcPr>
          <w:p w14:paraId="3CE10E04">
            <w:pPr>
              <w:widowControl/>
              <w:jc w:val="center"/>
              <w:rPr>
                <w:rFonts w:hint="eastAsia" w:ascii="仿宋_GB2312" w:hAnsi="仿宋_GB2312" w:eastAsia="仿宋_GB2312" w:cs="仿宋_GB2312"/>
                <w:b w:val="0"/>
                <w:bCs/>
                <w:color w:val="0000FF"/>
                <w:spacing w:val="20"/>
                <w:sz w:val="21"/>
                <w:szCs w:val="21"/>
                <w:lang w:val="en-US" w:eastAsia="zh-CN"/>
              </w:rPr>
            </w:pPr>
            <w:r>
              <w:rPr>
                <w:rFonts w:hint="eastAsia" w:ascii="仿宋_GB2312" w:hAnsi="仿宋_GB2312" w:eastAsia="仿宋_GB2312" w:cs="仿宋_GB2312"/>
                <w:b w:val="0"/>
                <w:bCs/>
                <w:color w:val="0000FF"/>
                <w:spacing w:val="20"/>
                <w:sz w:val="21"/>
                <w:szCs w:val="21"/>
                <w:lang w:val="en-US" w:eastAsia="zh-CN"/>
              </w:rPr>
              <w:t>春季学期</w:t>
            </w:r>
          </w:p>
        </w:tc>
      </w:tr>
      <w:tr w14:paraId="799E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9" w:type="pct"/>
            <w:vAlign w:val="center"/>
          </w:tcPr>
          <w:p w14:paraId="0A0DBD55">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中国化马克思主义理论</w:t>
            </w:r>
          </w:p>
        </w:tc>
        <w:tc>
          <w:tcPr>
            <w:tcW w:w="328" w:type="pct"/>
            <w:vAlign w:val="center"/>
          </w:tcPr>
          <w:p w14:paraId="066EAA92">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3</w:t>
            </w:r>
          </w:p>
        </w:tc>
        <w:tc>
          <w:tcPr>
            <w:tcW w:w="571" w:type="pct"/>
            <w:vAlign w:val="center"/>
          </w:tcPr>
          <w:p w14:paraId="1FD16CC6">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45</w:t>
            </w:r>
          </w:p>
        </w:tc>
        <w:tc>
          <w:tcPr>
            <w:tcW w:w="435" w:type="pct"/>
            <w:vAlign w:val="center"/>
          </w:tcPr>
          <w:p w14:paraId="0859F0E8">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42</w:t>
            </w:r>
          </w:p>
        </w:tc>
        <w:tc>
          <w:tcPr>
            <w:tcW w:w="438" w:type="pct"/>
            <w:vAlign w:val="center"/>
          </w:tcPr>
          <w:p w14:paraId="2DCB502B">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3</w:t>
            </w:r>
          </w:p>
        </w:tc>
        <w:tc>
          <w:tcPr>
            <w:tcW w:w="554" w:type="pct"/>
            <w:shd w:val="clear" w:color="auto" w:fill="auto"/>
            <w:vAlign w:val="center"/>
          </w:tcPr>
          <w:p w14:paraId="1DDAC652">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必修</w:t>
            </w:r>
          </w:p>
        </w:tc>
        <w:tc>
          <w:tcPr>
            <w:tcW w:w="579" w:type="pct"/>
            <w:shd w:val="clear" w:color="auto" w:fill="auto"/>
            <w:vAlign w:val="center"/>
          </w:tcPr>
          <w:p w14:paraId="7AD4B0CB">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考查</w:t>
            </w:r>
          </w:p>
        </w:tc>
        <w:tc>
          <w:tcPr>
            <w:tcW w:w="602" w:type="pct"/>
            <w:shd w:val="clear" w:color="auto" w:fill="auto"/>
            <w:vAlign w:val="center"/>
          </w:tcPr>
          <w:p w14:paraId="3E0FB5F3">
            <w:pPr>
              <w:widowControl/>
              <w:jc w:val="center"/>
              <w:rPr>
                <w:rFonts w:hint="default" w:ascii="仿宋_GB2312" w:hAnsi="仿宋_GB2312" w:eastAsia="仿宋_GB2312" w:cs="仿宋_GB2312"/>
                <w:b w:val="0"/>
                <w:bCs/>
                <w:color w:val="0000FF"/>
                <w:spacing w:val="20"/>
                <w:sz w:val="21"/>
                <w:szCs w:val="21"/>
                <w:lang w:val="en-US" w:eastAsia="zh-CN"/>
              </w:rPr>
            </w:pPr>
            <w:r>
              <w:rPr>
                <w:rFonts w:hint="eastAsia" w:ascii="仿宋_GB2312" w:hAnsi="仿宋_GB2312" w:eastAsia="仿宋_GB2312" w:cs="仿宋_GB2312"/>
                <w:b w:val="0"/>
                <w:bCs/>
                <w:color w:val="0000FF"/>
                <w:spacing w:val="20"/>
                <w:sz w:val="21"/>
                <w:szCs w:val="21"/>
                <w:lang w:val="en-US" w:eastAsia="zh-CN"/>
              </w:rPr>
              <w:t>秋季学期</w:t>
            </w:r>
          </w:p>
        </w:tc>
      </w:tr>
      <w:tr w14:paraId="124C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9" w:type="pct"/>
            <w:shd w:val="clear" w:color="auto" w:fill="auto"/>
            <w:vAlign w:val="center"/>
          </w:tcPr>
          <w:p w14:paraId="2445D4AC">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思想政治教育理论前沿</w:t>
            </w:r>
          </w:p>
        </w:tc>
        <w:tc>
          <w:tcPr>
            <w:tcW w:w="328" w:type="pct"/>
            <w:shd w:val="clear" w:color="auto" w:fill="auto"/>
            <w:vAlign w:val="center"/>
          </w:tcPr>
          <w:p w14:paraId="70F774C7">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2</w:t>
            </w:r>
          </w:p>
        </w:tc>
        <w:tc>
          <w:tcPr>
            <w:tcW w:w="571" w:type="pct"/>
            <w:shd w:val="clear" w:color="auto" w:fill="auto"/>
            <w:vAlign w:val="center"/>
          </w:tcPr>
          <w:p w14:paraId="6A1A4C75">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30</w:t>
            </w:r>
          </w:p>
        </w:tc>
        <w:tc>
          <w:tcPr>
            <w:tcW w:w="435" w:type="pct"/>
            <w:shd w:val="clear" w:color="auto" w:fill="auto"/>
            <w:vAlign w:val="center"/>
          </w:tcPr>
          <w:p w14:paraId="58988290">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28</w:t>
            </w:r>
          </w:p>
        </w:tc>
        <w:tc>
          <w:tcPr>
            <w:tcW w:w="438" w:type="pct"/>
            <w:shd w:val="clear" w:color="auto" w:fill="auto"/>
            <w:vAlign w:val="center"/>
          </w:tcPr>
          <w:p w14:paraId="71647050">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2</w:t>
            </w:r>
          </w:p>
        </w:tc>
        <w:tc>
          <w:tcPr>
            <w:tcW w:w="554" w:type="pct"/>
            <w:shd w:val="clear" w:color="auto" w:fill="auto"/>
            <w:vAlign w:val="center"/>
          </w:tcPr>
          <w:p w14:paraId="113CB330">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必修</w:t>
            </w:r>
          </w:p>
        </w:tc>
        <w:tc>
          <w:tcPr>
            <w:tcW w:w="579" w:type="pct"/>
            <w:shd w:val="clear" w:color="auto" w:fill="auto"/>
            <w:vAlign w:val="center"/>
          </w:tcPr>
          <w:p w14:paraId="645965D0">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考查</w:t>
            </w:r>
          </w:p>
        </w:tc>
        <w:tc>
          <w:tcPr>
            <w:tcW w:w="602" w:type="pct"/>
            <w:shd w:val="clear" w:color="auto" w:fill="auto"/>
            <w:vAlign w:val="center"/>
          </w:tcPr>
          <w:p w14:paraId="09481DD3">
            <w:pPr>
              <w:widowControl/>
              <w:jc w:val="center"/>
              <w:rPr>
                <w:rFonts w:hint="default" w:ascii="仿宋_GB2312" w:hAnsi="仿宋_GB2312" w:eastAsia="仿宋_GB2312" w:cs="仿宋_GB2312"/>
                <w:b w:val="0"/>
                <w:bCs/>
                <w:color w:val="0000FF"/>
                <w:spacing w:val="20"/>
                <w:sz w:val="21"/>
                <w:szCs w:val="21"/>
                <w:lang w:val="en-US" w:eastAsia="zh-CN"/>
              </w:rPr>
            </w:pPr>
            <w:r>
              <w:rPr>
                <w:rFonts w:hint="eastAsia" w:ascii="仿宋_GB2312" w:hAnsi="仿宋_GB2312" w:eastAsia="仿宋_GB2312" w:cs="仿宋_GB2312"/>
                <w:b w:val="0"/>
                <w:bCs/>
                <w:color w:val="0000FF"/>
                <w:spacing w:val="20"/>
                <w:sz w:val="21"/>
                <w:szCs w:val="21"/>
                <w:lang w:val="en-US" w:eastAsia="zh-CN"/>
              </w:rPr>
              <w:t>秋季学期</w:t>
            </w:r>
          </w:p>
        </w:tc>
      </w:tr>
      <w:tr w14:paraId="01A1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9" w:type="pct"/>
            <w:shd w:val="clear" w:color="auto" w:fill="auto"/>
            <w:vAlign w:val="center"/>
          </w:tcPr>
          <w:p w14:paraId="729FE072">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时事政治热点解析</w:t>
            </w:r>
          </w:p>
        </w:tc>
        <w:tc>
          <w:tcPr>
            <w:tcW w:w="328" w:type="pct"/>
            <w:shd w:val="clear" w:color="auto" w:fill="auto"/>
            <w:vAlign w:val="center"/>
          </w:tcPr>
          <w:p w14:paraId="235CE537">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0.5</w:t>
            </w:r>
          </w:p>
        </w:tc>
        <w:tc>
          <w:tcPr>
            <w:tcW w:w="571" w:type="pct"/>
            <w:vAlign w:val="center"/>
          </w:tcPr>
          <w:p w14:paraId="7C6A8219">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7.5</w:t>
            </w:r>
          </w:p>
        </w:tc>
        <w:tc>
          <w:tcPr>
            <w:tcW w:w="435" w:type="pct"/>
            <w:vAlign w:val="center"/>
          </w:tcPr>
          <w:p w14:paraId="2C24969A">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7</w:t>
            </w:r>
          </w:p>
        </w:tc>
        <w:tc>
          <w:tcPr>
            <w:tcW w:w="438" w:type="pct"/>
            <w:vAlign w:val="center"/>
          </w:tcPr>
          <w:p w14:paraId="301FFE93">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0.5</w:t>
            </w:r>
          </w:p>
        </w:tc>
        <w:tc>
          <w:tcPr>
            <w:tcW w:w="554" w:type="pct"/>
            <w:shd w:val="clear" w:color="auto" w:fill="auto"/>
            <w:vAlign w:val="center"/>
          </w:tcPr>
          <w:p w14:paraId="1F329B31">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必修</w:t>
            </w:r>
          </w:p>
        </w:tc>
        <w:tc>
          <w:tcPr>
            <w:tcW w:w="579" w:type="pct"/>
            <w:shd w:val="clear" w:color="auto" w:fill="auto"/>
            <w:vAlign w:val="center"/>
          </w:tcPr>
          <w:p w14:paraId="6B53C728">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考查</w:t>
            </w:r>
          </w:p>
        </w:tc>
        <w:tc>
          <w:tcPr>
            <w:tcW w:w="602" w:type="pct"/>
            <w:shd w:val="clear" w:color="auto" w:fill="auto"/>
            <w:vAlign w:val="center"/>
          </w:tcPr>
          <w:p w14:paraId="52C13AA9">
            <w:pPr>
              <w:widowControl/>
              <w:jc w:val="center"/>
              <w:rPr>
                <w:rFonts w:hint="eastAsia" w:ascii="仿宋_GB2312" w:hAnsi="仿宋_GB2312" w:eastAsia="仿宋_GB2312" w:cs="仿宋_GB2312"/>
                <w:b w:val="0"/>
                <w:bCs/>
                <w:color w:val="0000FF"/>
                <w:spacing w:val="20"/>
                <w:sz w:val="21"/>
                <w:szCs w:val="21"/>
                <w:lang w:val="en-US" w:eastAsia="zh-CN"/>
              </w:rPr>
            </w:pPr>
            <w:r>
              <w:rPr>
                <w:rFonts w:hint="eastAsia" w:ascii="仿宋_GB2312" w:hAnsi="仿宋_GB2312" w:eastAsia="仿宋_GB2312" w:cs="仿宋_GB2312"/>
                <w:b w:val="0"/>
                <w:bCs/>
                <w:color w:val="0000FF"/>
                <w:spacing w:val="20"/>
                <w:sz w:val="21"/>
                <w:szCs w:val="21"/>
                <w:lang w:val="en-US" w:eastAsia="zh-CN"/>
              </w:rPr>
              <w:t>秋季学期</w:t>
            </w:r>
          </w:p>
        </w:tc>
      </w:tr>
      <w:bookmarkEnd w:id="0"/>
      <w:tr w14:paraId="723D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89" w:type="pct"/>
            <w:tcBorders>
              <w:bottom w:val="single" w:color="auto" w:sz="4" w:space="0"/>
            </w:tcBorders>
            <w:vAlign w:val="center"/>
          </w:tcPr>
          <w:p w14:paraId="62FA237D">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合计</w:t>
            </w:r>
          </w:p>
        </w:tc>
        <w:tc>
          <w:tcPr>
            <w:tcW w:w="328" w:type="pct"/>
            <w:tcBorders>
              <w:bottom w:val="single" w:color="auto" w:sz="4" w:space="0"/>
            </w:tcBorders>
            <w:vAlign w:val="center"/>
          </w:tcPr>
          <w:p w14:paraId="1C3633CA">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10</w:t>
            </w:r>
          </w:p>
        </w:tc>
        <w:tc>
          <w:tcPr>
            <w:tcW w:w="571" w:type="pct"/>
            <w:tcBorders>
              <w:bottom w:val="single" w:color="auto" w:sz="4" w:space="0"/>
            </w:tcBorders>
            <w:vAlign w:val="center"/>
          </w:tcPr>
          <w:p w14:paraId="2F88B651">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150</w:t>
            </w:r>
          </w:p>
        </w:tc>
        <w:tc>
          <w:tcPr>
            <w:tcW w:w="435" w:type="pct"/>
            <w:tcBorders>
              <w:bottom w:val="single" w:color="auto" w:sz="4" w:space="0"/>
            </w:tcBorders>
            <w:vAlign w:val="center"/>
          </w:tcPr>
          <w:p w14:paraId="0AD458F6">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139</w:t>
            </w:r>
          </w:p>
        </w:tc>
        <w:tc>
          <w:tcPr>
            <w:tcW w:w="438" w:type="pct"/>
            <w:tcBorders>
              <w:bottom w:val="single" w:color="auto" w:sz="4" w:space="0"/>
            </w:tcBorders>
            <w:vAlign w:val="center"/>
          </w:tcPr>
          <w:p w14:paraId="789F920A">
            <w:pPr>
              <w:widowControl/>
              <w:jc w:val="center"/>
              <w:rPr>
                <w:rFonts w:hint="default"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11</w:t>
            </w:r>
          </w:p>
        </w:tc>
        <w:tc>
          <w:tcPr>
            <w:tcW w:w="554" w:type="pct"/>
            <w:tcBorders>
              <w:bottom w:val="single" w:color="auto" w:sz="4" w:space="0"/>
            </w:tcBorders>
            <w:vAlign w:val="center"/>
          </w:tcPr>
          <w:p w14:paraId="271EF86B">
            <w:pPr>
              <w:widowControl/>
              <w:jc w:val="center"/>
              <w:rPr>
                <w:rFonts w:hint="eastAsia" w:ascii="仿宋_GB2312" w:hAnsi="仿宋_GB2312" w:eastAsia="仿宋_GB2312" w:cs="仿宋_GB2312"/>
                <w:b w:val="0"/>
                <w:bCs/>
                <w:spacing w:val="20"/>
                <w:sz w:val="21"/>
                <w:szCs w:val="21"/>
                <w:lang w:val="en-US" w:eastAsia="zh-CN"/>
              </w:rPr>
            </w:pPr>
          </w:p>
        </w:tc>
        <w:tc>
          <w:tcPr>
            <w:tcW w:w="579" w:type="pct"/>
            <w:tcBorders>
              <w:bottom w:val="single" w:color="auto" w:sz="4" w:space="0"/>
            </w:tcBorders>
            <w:vAlign w:val="center"/>
          </w:tcPr>
          <w:p w14:paraId="4F8D4469">
            <w:pPr>
              <w:widowControl/>
              <w:jc w:val="center"/>
              <w:rPr>
                <w:rFonts w:hint="eastAsia" w:ascii="仿宋_GB2312" w:hAnsi="仿宋_GB2312" w:eastAsia="仿宋_GB2312" w:cs="仿宋_GB2312"/>
                <w:b w:val="0"/>
                <w:bCs/>
                <w:spacing w:val="20"/>
                <w:sz w:val="21"/>
                <w:szCs w:val="21"/>
                <w:lang w:val="en-US" w:eastAsia="zh-CN"/>
              </w:rPr>
            </w:pPr>
          </w:p>
        </w:tc>
        <w:tc>
          <w:tcPr>
            <w:tcW w:w="602" w:type="pct"/>
            <w:tcBorders>
              <w:bottom w:val="single" w:color="auto" w:sz="4" w:space="0"/>
            </w:tcBorders>
            <w:vAlign w:val="center"/>
          </w:tcPr>
          <w:p w14:paraId="5B6490F1">
            <w:pPr>
              <w:widowControl/>
              <w:jc w:val="center"/>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w:t>
            </w:r>
          </w:p>
        </w:tc>
      </w:tr>
    </w:tbl>
    <w:p w14:paraId="2BE0FAFA">
      <w:pPr>
        <w:widowControl/>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备注：“开课学期”根据实际开课学期填写2、3、4</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lang w:val="en-US" w:eastAsia="zh-CN"/>
        </w:rPr>
        <w:t>5、6、7</w:t>
      </w:r>
      <w:r>
        <w:rPr>
          <w:rFonts w:hint="eastAsia" w:ascii="Times New Roman" w:hAnsi="Times New Roman" w:eastAsia="宋体" w:cs="Times New Roman"/>
          <w:bCs/>
          <w:sz w:val="24"/>
          <w:szCs w:val="24"/>
        </w:rPr>
        <w:t>，“考核方式”填写考试、考查；</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课程性质</w:t>
      </w: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rPr>
        <w:t>填必修、选修；</w:t>
      </w:r>
    </w:p>
    <w:p w14:paraId="6AAE72D6">
      <w:pPr>
        <w:widowControl/>
        <w:spacing w:line="360" w:lineRule="auto"/>
        <w:jc w:val="left"/>
        <w:rPr>
          <w:rFonts w:hint="eastAsia" w:ascii="黑体" w:hAnsi="黑体" w:eastAsia="黑体" w:cs="黑体"/>
          <w:bCs/>
          <w:sz w:val="28"/>
          <w:szCs w:val="28"/>
        </w:rPr>
      </w:pPr>
    </w:p>
    <w:p w14:paraId="1BFA77E3">
      <w:pPr>
        <w:widowControl/>
        <w:spacing w:line="360" w:lineRule="auto"/>
        <w:jc w:val="left"/>
        <w:rPr>
          <w:rFonts w:ascii="黑体" w:hAnsi="黑体" w:eastAsia="黑体" w:cs="黑体"/>
          <w:bCs/>
          <w:sz w:val="28"/>
          <w:szCs w:val="28"/>
        </w:rPr>
      </w:pPr>
      <w:r>
        <w:rPr>
          <w:rFonts w:hint="eastAsia" w:ascii="黑体" w:hAnsi="黑体" w:eastAsia="黑体" w:cs="黑体"/>
          <w:bCs/>
          <w:sz w:val="28"/>
          <w:szCs w:val="28"/>
        </w:rPr>
        <w:t>六、课程简介</w:t>
      </w:r>
    </w:p>
    <w:tbl>
      <w:tblPr>
        <w:tblStyle w:val="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2228"/>
        <w:gridCol w:w="5922"/>
      </w:tblGrid>
      <w:tr w14:paraId="2953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00" w:type="dxa"/>
            <w:tcBorders>
              <w:top w:val="single" w:color="auto" w:sz="4" w:space="0"/>
            </w:tcBorders>
            <w:vAlign w:val="center"/>
          </w:tcPr>
          <w:p w14:paraId="23FABFF7">
            <w:pPr>
              <w:widowControl/>
              <w:jc w:val="center"/>
              <w:rPr>
                <w:rFonts w:hint="eastAsia" w:ascii="黑体" w:hAnsi="黑体" w:eastAsia="黑体" w:cs="黑体"/>
                <w:b w:val="0"/>
                <w:bCs/>
                <w:spacing w:val="20"/>
                <w:sz w:val="21"/>
                <w:szCs w:val="21"/>
              </w:rPr>
            </w:pPr>
            <w:r>
              <w:rPr>
                <w:rFonts w:hint="eastAsia" w:ascii="黑体" w:hAnsi="黑体" w:eastAsia="黑体" w:cs="黑体"/>
                <w:b w:val="0"/>
                <w:bCs/>
                <w:spacing w:val="20"/>
                <w:sz w:val="21"/>
                <w:szCs w:val="21"/>
              </w:rPr>
              <w:t>序号</w:t>
            </w:r>
          </w:p>
        </w:tc>
        <w:tc>
          <w:tcPr>
            <w:tcW w:w="2228" w:type="dxa"/>
            <w:tcBorders>
              <w:top w:val="single" w:color="auto" w:sz="4" w:space="0"/>
            </w:tcBorders>
            <w:vAlign w:val="center"/>
          </w:tcPr>
          <w:p w14:paraId="5300F9AD">
            <w:pPr>
              <w:widowControl/>
              <w:jc w:val="center"/>
              <w:rPr>
                <w:rFonts w:hint="eastAsia" w:ascii="黑体" w:hAnsi="黑体" w:eastAsia="黑体" w:cs="黑体"/>
                <w:b w:val="0"/>
                <w:bCs/>
                <w:spacing w:val="20"/>
                <w:sz w:val="21"/>
                <w:szCs w:val="21"/>
              </w:rPr>
            </w:pPr>
            <w:r>
              <w:rPr>
                <w:rFonts w:hint="eastAsia" w:ascii="黑体" w:hAnsi="黑体" w:eastAsia="黑体" w:cs="黑体"/>
                <w:b w:val="0"/>
                <w:bCs/>
                <w:spacing w:val="20"/>
                <w:sz w:val="21"/>
                <w:szCs w:val="21"/>
              </w:rPr>
              <w:t>课程名称</w:t>
            </w:r>
          </w:p>
        </w:tc>
        <w:tc>
          <w:tcPr>
            <w:tcW w:w="5922" w:type="dxa"/>
            <w:tcBorders>
              <w:top w:val="single" w:color="auto" w:sz="4" w:space="0"/>
              <w:bottom w:val="single" w:color="auto" w:sz="4" w:space="0"/>
            </w:tcBorders>
            <w:vAlign w:val="center"/>
          </w:tcPr>
          <w:p w14:paraId="005B8980">
            <w:pPr>
              <w:widowControl/>
              <w:jc w:val="center"/>
              <w:rPr>
                <w:rFonts w:hint="eastAsia" w:ascii="黑体" w:hAnsi="黑体" w:eastAsia="黑体" w:cs="黑体"/>
                <w:b w:val="0"/>
                <w:bCs/>
                <w:sz w:val="21"/>
                <w:szCs w:val="21"/>
              </w:rPr>
            </w:pPr>
            <w:r>
              <w:rPr>
                <w:rFonts w:hint="eastAsia" w:ascii="黑体" w:hAnsi="黑体" w:eastAsia="黑体" w:cs="黑体"/>
                <w:b w:val="0"/>
                <w:bCs/>
                <w:spacing w:val="20"/>
                <w:sz w:val="21"/>
                <w:szCs w:val="21"/>
              </w:rPr>
              <w:t>课程简介</w:t>
            </w:r>
          </w:p>
        </w:tc>
      </w:tr>
      <w:tr w14:paraId="094E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exact"/>
          <w:jc w:val="center"/>
        </w:trPr>
        <w:tc>
          <w:tcPr>
            <w:tcW w:w="1000" w:type="dxa"/>
            <w:vAlign w:val="center"/>
          </w:tcPr>
          <w:p w14:paraId="05C72216">
            <w:pPr>
              <w:widowControl/>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2228" w:type="dxa"/>
            <w:vAlign w:val="center"/>
          </w:tcPr>
          <w:p w14:paraId="7CB97DB7">
            <w:pPr>
              <w:widowControl/>
              <w:jc w:val="center"/>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 w:val="0"/>
                <w:bCs/>
                <w:color w:val="000000" w:themeColor="text1"/>
                <w:spacing w:val="20"/>
                <w:sz w:val="21"/>
                <w:szCs w:val="21"/>
                <w:lang w:val="en-US" w:eastAsia="zh-CN"/>
                <w14:textFill>
                  <w14:solidFill>
                    <w14:schemeClr w14:val="tx1"/>
                  </w14:solidFill>
                </w14:textFill>
              </w:rPr>
              <w:t>马克思主义基本原理</w:t>
            </w:r>
          </w:p>
        </w:tc>
        <w:tc>
          <w:tcPr>
            <w:tcW w:w="5922" w:type="dxa"/>
            <w:tcBorders>
              <w:top w:val="single" w:color="auto" w:sz="4" w:space="0"/>
              <w:bottom w:val="single" w:color="auto" w:sz="4" w:space="0"/>
            </w:tcBorders>
            <w:vAlign w:val="center"/>
          </w:tcPr>
          <w:p w14:paraId="1369234F">
            <w:pPr>
              <w:widowControl/>
              <w:jc w:val="left"/>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马克思主义基本原理》课程是马克思主义理论专业的一门基础课程，通过该课程的学习，让学生掌握马克思主义的思想观点和方法，学会运用马克思主义基本原理分析和解决现实问题。在学习过程中学会理论联系实际，懂得学以致用，提高用所学的马克思主义基本原理知识和基本方法解决学习生活中问题的能力，增强投身中国式现代化建设的觉悟和能力，形成科学的理想信念，坚定共产主义远大理想。掌握和了解马克思主义哲学、马克思主义政治经济学以及科学社会主义的基本理论，在实践中学会运用马克思主义的基本原理认识和分析各种社会实际问题，正确认识人类社会的本质、社会发展动力和社会发展基本规律。树立正确的世界观、人生观和价值观。</w:t>
            </w:r>
          </w:p>
        </w:tc>
      </w:tr>
      <w:tr w14:paraId="46D8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5" w:hRule="exact"/>
          <w:jc w:val="center"/>
        </w:trPr>
        <w:tc>
          <w:tcPr>
            <w:tcW w:w="1000" w:type="dxa"/>
            <w:vAlign w:val="center"/>
          </w:tcPr>
          <w:p w14:paraId="6F56B075">
            <w:pPr>
              <w:widowControl/>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2228" w:type="dxa"/>
            <w:vAlign w:val="center"/>
          </w:tcPr>
          <w:p w14:paraId="2C428520">
            <w:pPr>
              <w:widowControl/>
              <w:jc w:val="center"/>
              <w:rPr>
                <w:rFonts w:hint="eastAsia" w:ascii="仿宋_GB2312" w:hAnsi="仿宋_GB2312" w:eastAsia="仿宋_GB2312" w:cs="仿宋_GB2312"/>
                <w:bCs/>
                <w:sz w:val="21"/>
                <w:szCs w:val="21"/>
              </w:rPr>
            </w:pPr>
            <w:r>
              <w:rPr>
                <w:rFonts w:hint="eastAsia" w:ascii="仿宋_GB2312" w:hAnsi="仿宋_GB2312" w:eastAsia="仿宋_GB2312" w:cs="仿宋_GB2312"/>
                <w:b w:val="0"/>
                <w:bCs/>
                <w:color w:val="000000" w:themeColor="text1"/>
                <w:spacing w:val="20"/>
                <w:sz w:val="21"/>
                <w:szCs w:val="21"/>
                <w:lang w:val="en-US" w:eastAsia="zh-CN"/>
                <w14:textFill>
                  <w14:solidFill>
                    <w14:schemeClr w14:val="tx1"/>
                  </w14:solidFill>
                </w14:textFill>
              </w:rPr>
              <w:t>中国共产党史</w:t>
            </w:r>
          </w:p>
        </w:tc>
        <w:tc>
          <w:tcPr>
            <w:tcW w:w="5922" w:type="dxa"/>
            <w:tcBorders>
              <w:top w:val="single" w:color="auto" w:sz="4" w:space="0"/>
              <w:bottom w:val="single" w:color="auto" w:sz="4" w:space="0"/>
            </w:tcBorders>
            <w:vAlign w:val="center"/>
          </w:tcPr>
          <w:p w14:paraId="78A1BFC3">
            <w:pPr>
              <w:widowControl/>
              <w:jc w:val="left"/>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《中国共产党史》是马克思主义理论微专业的基础理论必修课。该课程具有党性和科学性相统一的鲜明特质，承担以史鉴今、资政育人的学科功能。既注重“史料—史实—史观 ”的历史认知规律特点，又注重以正确党史观为统领，在党史教学的全过程和各环节，结合党的历史发展过程和党史人物事件的丰富文献和生动史实，培养学生自觉运用马克思主义的立场观点方法分析党史问题，分清党史的主题和主线、主流和支流、现象和本质。通过课程学习，系统掌握党史知识体系，树立正确党史观，具有人文底蕴、科学精神和过硬的思想政治素质。系统学习党的发展历程，党的发展规律，党的成就经验，读通百年大党的历史，树立整体意识和全局观念，在党史与理论、现实的结合中提升学科素养。结合党的历史发展过程和党史人物事件的丰富文献和生动史实，自觉运用马克思主义的立场观点方法分析党史问题，分清党史的主题和主线。</w:t>
            </w:r>
          </w:p>
          <w:p w14:paraId="2EBF1C61">
            <w:pPr>
              <w:widowControl/>
              <w:jc w:val="left"/>
              <w:rPr>
                <w:rFonts w:hint="eastAsia" w:ascii="仿宋_GB2312" w:hAnsi="仿宋_GB2312" w:eastAsia="仿宋_GB2312" w:cs="仿宋_GB2312"/>
                <w:b w:val="0"/>
                <w:bCs/>
                <w:spacing w:val="20"/>
                <w:sz w:val="21"/>
                <w:szCs w:val="21"/>
                <w:lang w:val="en-US" w:eastAsia="zh-CN"/>
              </w:rPr>
            </w:pPr>
          </w:p>
          <w:p w14:paraId="389BF047">
            <w:pPr>
              <w:widowControl/>
              <w:jc w:val="left"/>
              <w:rPr>
                <w:rFonts w:hint="eastAsia" w:ascii="仿宋_GB2312" w:hAnsi="仿宋_GB2312" w:eastAsia="仿宋_GB2312" w:cs="仿宋_GB2312"/>
                <w:b w:val="0"/>
                <w:bCs/>
                <w:spacing w:val="20"/>
                <w:sz w:val="21"/>
                <w:szCs w:val="21"/>
                <w:lang w:val="en-US" w:eastAsia="zh-CN"/>
              </w:rPr>
            </w:pPr>
          </w:p>
        </w:tc>
      </w:tr>
      <w:tr w14:paraId="0787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2" w:hRule="exact"/>
          <w:jc w:val="center"/>
        </w:trPr>
        <w:tc>
          <w:tcPr>
            <w:tcW w:w="1000" w:type="dxa"/>
            <w:vAlign w:val="center"/>
          </w:tcPr>
          <w:p w14:paraId="0BEF1DD9">
            <w:pPr>
              <w:widowControl/>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2228" w:type="dxa"/>
            <w:vAlign w:val="center"/>
          </w:tcPr>
          <w:p w14:paraId="610999CC">
            <w:pPr>
              <w:widowControl/>
              <w:jc w:val="center"/>
              <w:rPr>
                <w:rFonts w:hint="eastAsia" w:ascii="仿宋_GB2312" w:hAnsi="仿宋_GB2312" w:eastAsia="仿宋_GB2312" w:cs="仿宋_GB2312"/>
                <w:bCs/>
                <w:sz w:val="21"/>
                <w:szCs w:val="21"/>
              </w:rPr>
            </w:pPr>
            <w:r>
              <w:rPr>
                <w:rFonts w:hint="eastAsia" w:ascii="仿宋_GB2312" w:hAnsi="仿宋_GB2312" w:eastAsia="仿宋_GB2312" w:cs="仿宋_GB2312"/>
                <w:b w:val="0"/>
                <w:bCs/>
                <w:spacing w:val="20"/>
                <w:sz w:val="21"/>
                <w:szCs w:val="21"/>
                <w:lang w:val="en-US" w:eastAsia="zh-CN"/>
              </w:rPr>
              <w:t>中国化马克思主义理论</w:t>
            </w:r>
          </w:p>
        </w:tc>
        <w:tc>
          <w:tcPr>
            <w:tcW w:w="5922" w:type="dxa"/>
            <w:tcBorders>
              <w:top w:val="single" w:color="auto" w:sz="4" w:space="0"/>
              <w:bottom w:val="single" w:color="auto" w:sz="4" w:space="0"/>
            </w:tcBorders>
            <w:vAlign w:val="center"/>
          </w:tcPr>
          <w:p w14:paraId="26BBE5EB">
            <w:pPr>
              <w:widowControl/>
              <w:jc w:val="left"/>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中国化马克思主义理论》课程以中国化马克思主义理论的形成发展、主要内容和精神实质为主线，以建设中国特色社会主义理论和实践为重点，密切结合中国共产党领导人民在新民主主义革命道路、社会主义建设道路和实现中华民族伟大复兴征程的探索中所进行的艰苦实践和理论总结进行学习，科学认识中国共产党几代领导集体不断推进马克思主义中国化的历史进程，深刻理解马克思主义中国化丰富理论成果的科学内涵和精神实质，准确把握马克思主义中国化和中国化马克思主义不断发展的基本经验和基本规律。通过本课程的学习使学生较好的掌握我国进行社会主义现代化建设过程中的基本理论知识，对于国家的大政方针政策有全面系统的了解，具备良好的政治素质与理论修养，进而不断引导学生不断增强道路自信、理论自信、制度自信、文化自信，坚定中国特色社会主义理想信念。</w:t>
            </w:r>
          </w:p>
          <w:p w14:paraId="3B6E47B8">
            <w:pPr>
              <w:widowControl/>
              <w:jc w:val="left"/>
              <w:rPr>
                <w:rFonts w:hint="eastAsia" w:ascii="仿宋_GB2312" w:hAnsi="仿宋_GB2312" w:eastAsia="仿宋_GB2312" w:cs="仿宋_GB2312"/>
                <w:b w:val="0"/>
                <w:bCs/>
                <w:spacing w:val="20"/>
                <w:sz w:val="21"/>
                <w:szCs w:val="21"/>
                <w:lang w:val="en-US" w:eastAsia="zh-CN"/>
              </w:rPr>
            </w:pPr>
          </w:p>
          <w:p w14:paraId="10E0A370">
            <w:pPr>
              <w:widowControl/>
              <w:jc w:val="center"/>
              <w:rPr>
                <w:rFonts w:hint="eastAsia" w:ascii="仿宋_GB2312" w:hAnsi="仿宋_GB2312" w:eastAsia="仿宋_GB2312" w:cs="仿宋_GB2312"/>
                <w:b w:val="0"/>
                <w:bCs/>
                <w:spacing w:val="20"/>
                <w:sz w:val="21"/>
                <w:szCs w:val="21"/>
                <w:lang w:val="en-US" w:eastAsia="zh-CN"/>
              </w:rPr>
            </w:pPr>
          </w:p>
        </w:tc>
      </w:tr>
      <w:tr w14:paraId="070D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6" w:hRule="exact"/>
          <w:jc w:val="center"/>
        </w:trPr>
        <w:tc>
          <w:tcPr>
            <w:tcW w:w="1000" w:type="dxa"/>
            <w:vAlign w:val="center"/>
          </w:tcPr>
          <w:p w14:paraId="3BD08FA6">
            <w:pPr>
              <w:widowControl/>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4</w:t>
            </w:r>
          </w:p>
        </w:tc>
        <w:tc>
          <w:tcPr>
            <w:tcW w:w="2228" w:type="dxa"/>
            <w:vAlign w:val="center"/>
          </w:tcPr>
          <w:p w14:paraId="514217D3">
            <w:pPr>
              <w:widowControl/>
              <w:jc w:val="center"/>
              <w:rPr>
                <w:rFonts w:hint="eastAsia" w:ascii="仿宋_GB2312" w:hAnsi="仿宋_GB2312" w:eastAsia="仿宋_GB2312" w:cs="仿宋_GB2312"/>
                <w:bCs/>
                <w:sz w:val="21"/>
                <w:szCs w:val="21"/>
              </w:rPr>
            </w:pPr>
            <w:r>
              <w:rPr>
                <w:rFonts w:hint="eastAsia" w:ascii="仿宋_GB2312" w:hAnsi="仿宋_GB2312" w:eastAsia="仿宋_GB2312" w:cs="仿宋_GB2312"/>
                <w:b w:val="0"/>
                <w:bCs/>
                <w:spacing w:val="20"/>
                <w:sz w:val="21"/>
                <w:szCs w:val="21"/>
                <w:lang w:val="en-US" w:eastAsia="zh-CN"/>
              </w:rPr>
              <w:t>思想政治教育理论前沿</w:t>
            </w:r>
          </w:p>
        </w:tc>
        <w:tc>
          <w:tcPr>
            <w:tcW w:w="5922" w:type="dxa"/>
            <w:tcBorders>
              <w:top w:val="single" w:color="auto" w:sz="4" w:space="0"/>
              <w:bottom w:val="single" w:color="auto" w:sz="4" w:space="0"/>
            </w:tcBorders>
            <w:vAlign w:val="center"/>
          </w:tcPr>
          <w:p w14:paraId="1F61B814">
            <w:pPr>
              <w:widowControl/>
              <w:jc w:val="left"/>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 xml:space="preserve">《思想政治理论前沿》课程是马克思主义理论微专业课程体系的重要组成部分，是对学生进行思想道德教育、法治教育，学习思想政治教育原理，把握思想政治教育规律的一门综合性课程。通过本课程的学习，学生能够正确理解党和国家政策、提升思想政治素质和法律素养，树立正确的世界观、人生观、价值观、道德观、法治观；能够系统掌握思想政治教育相关的基础理论，了解思想政治教育与其他学科的逻辑关联，理解思想政治教育学科的育人价值，结合学科教学进行育人活动；能够了解学习学科相关知识的方法与途径，注重知识的整合与融通，利用所学理论知识去分析、解决在具体的思想政治教育活动中所遇到的具体问题，为日后从事思想政治教育工作打下坚实的基础。 </w:t>
            </w:r>
          </w:p>
        </w:tc>
      </w:tr>
      <w:tr w14:paraId="1D17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exact"/>
          <w:jc w:val="center"/>
        </w:trPr>
        <w:tc>
          <w:tcPr>
            <w:tcW w:w="1000" w:type="dxa"/>
            <w:vAlign w:val="center"/>
          </w:tcPr>
          <w:p w14:paraId="00DFAFF9">
            <w:pPr>
              <w:widowControl/>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w:t>
            </w:r>
          </w:p>
        </w:tc>
        <w:tc>
          <w:tcPr>
            <w:tcW w:w="2228" w:type="dxa"/>
            <w:vAlign w:val="center"/>
          </w:tcPr>
          <w:p w14:paraId="444EB702">
            <w:pPr>
              <w:widowControl/>
              <w:jc w:val="center"/>
              <w:rPr>
                <w:rFonts w:hint="eastAsia" w:ascii="仿宋_GB2312" w:hAnsi="仿宋_GB2312" w:eastAsia="仿宋_GB2312" w:cs="仿宋_GB2312"/>
                <w:bCs/>
                <w:sz w:val="21"/>
                <w:szCs w:val="21"/>
              </w:rPr>
            </w:pPr>
            <w:r>
              <w:rPr>
                <w:rFonts w:hint="eastAsia" w:ascii="仿宋_GB2312" w:hAnsi="仿宋_GB2312" w:eastAsia="仿宋_GB2312" w:cs="仿宋_GB2312"/>
                <w:b w:val="0"/>
                <w:bCs/>
                <w:spacing w:val="20"/>
                <w:sz w:val="21"/>
                <w:szCs w:val="21"/>
                <w:lang w:val="en-US" w:eastAsia="zh-CN"/>
              </w:rPr>
              <w:t>时事政治热点解析</w:t>
            </w:r>
          </w:p>
        </w:tc>
        <w:tc>
          <w:tcPr>
            <w:tcW w:w="5922" w:type="dxa"/>
            <w:tcBorders>
              <w:top w:val="single" w:color="auto" w:sz="4" w:space="0"/>
              <w:bottom w:val="single" w:color="auto" w:sz="4" w:space="0"/>
            </w:tcBorders>
            <w:vAlign w:val="center"/>
          </w:tcPr>
          <w:p w14:paraId="43DEA174">
            <w:pPr>
              <w:widowControl/>
              <w:jc w:val="left"/>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 xml:space="preserve">《时事政治热点解析》课程是一门帮助学生深入学习和理解国内外重大政治事件、进行形势与政策教育的重要课程，具有鲜明的理论性、政策性、时效性、意识形态性。课程内容涵盖政治、经济、社会等多个领域的热点话题，通过案例分析、热点解读和互动讨论，培养学生对时事政治的敏感性和分析能力，学生将学习如何从多角度审视复杂问题，运用批判性思维辨别信息的真伪，并形成独立的观点。通过本课程的学习， </w:t>
            </w:r>
          </w:p>
          <w:p w14:paraId="05B090FE">
            <w:pPr>
              <w:widowControl/>
              <w:jc w:val="both"/>
              <w:rPr>
                <w:rFonts w:hint="eastAsia" w:ascii="仿宋_GB2312" w:hAnsi="仿宋_GB2312" w:eastAsia="仿宋_GB2312" w:cs="仿宋_GB2312"/>
                <w:b w:val="0"/>
                <w:bCs/>
                <w:spacing w:val="20"/>
                <w:sz w:val="21"/>
                <w:szCs w:val="21"/>
                <w:lang w:val="en-US" w:eastAsia="zh-CN"/>
              </w:rPr>
            </w:pPr>
            <w:r>
              <w:rPr>
                <w:rFonts w:hint="eastAsia" w:ascii="仿宋_GB2312" w:hAnsi="仿宋_GB2312" w:eastAsia="仿宋_GB2312" w:cs="仿宋_GB2312"/>
                <w:b w:val="0"/>
                <w:bCs/>
                <w:spacing w:val="20"/>
                <w:sz w:val="21"/>
                <w:szCs w:val="21"/>
                <w:lang w:val="en-US" w:eastAsia="zh-CN"/>
              </w:rPr>
              <w:t>不仅能够引导学生正确认识国内国际形势、正确理解党和国家政策，关注社会问题，增强社会责任感和参与意识，还能够提升学生的信息素养、公民素养和辩证思维能力，为未来的学习、研究和职业发展奠定坚实的政治理论基础。</w:t>
            </w:r>
          </w:p>
        </w:tc>
      </w:tr>
    </w:tbl>
    <w:p w14:paraId="6C7C49A5"/>
    <w:sectPr>
      <w:pgSz w:w="11906" w:h="16838"/>
      <w:pgMar w:top="1134" w:right="1418" w:bottom="1134" w:left="1418" w:header="851"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E0F79A-7BE2-4EF8-ACB6-D334FA1D1E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029E418-952A-45AD-883B-5ACAE1BF4F4A}"/>
  </w:font>
  <w:font w:name="方正小标宋简体">
    <w:panose1 w:val="02000000000000000000"/>
    <w:charset w:val="86"/>
    <w:family w:val="auto"/>
    <w:pitch w:val="default"/>
    <w:sig w:usb0="00000001" w:usb1="08000000" w:usb2="00000000" w:usb3="00000000" w:csb0="00040000" w:csb1="00000000"/>
    <w:embedRegular r:id="rId3" w:fontKey="{0D05EC9D-24DB-472B-A16B-90CB8A9BBD18}"/>
  </w:font>
  <w:font w:name="仿宋_GB2312">
    <w:panose1 w:val="02010609030101010101"/>
    <w:charset w:val="86"/>
    <w:family w:val="modern"/>
    <w:pitch w:val="default"/>
    <w:sig w:usb0="00000001" w:usb1="080E0000" w:usb2="00000000" w:usb3="00000000" w:csb0="00040000" w:csb1="00000000"/>
    <w:embedRegular r:id="rId4" w:fontKey="{77404BAE-98DF-4993-892C-CF5900553930}"/>
  </w:font>
  <w:font w:name="WPSEMBED9">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MmIxMDA0NmUxMTI3OTI0ODcyOTk2MmYwM2I1NGIifQ=="/>
  </w:docVars>
  <w:rsids>
    <w:rsidRoot w:val="0AE32D0C"/>
    <w:rsid w:val="000703B8"/>
    <w:rsid w:val="0007770F"/>
    <w:rsid w:val="001D40F7"/>
    <w:rsid w:val="001E18A9"/>
    <w:rsid w:val="002D1061"/>
    <w:rsid w:val="00372B72"/>
    <w:rsid w:val="00381A54"/>
    <w:rsid w:val="004B5A3E"/>
    <w:rsid w:val="005545E7"/>
    <w:rsid w:val="00597148"/>
    <w:rsid w:val="005D0C17"/>
    <w:rsid w:val="00757B4D"/>
    <w:rsid w:val="008C1075"/>
    <w:rsid w:val="009B1FE8"/>
    <w:rsid w:val="009F6304"/>
    <w:rsid w:val="00B348CD"/>
    <w:rsid w:val="00BC45A1"/>
    <w:rsid w:val="00D529C8"/>
    <w:rsid w:val="00DB7AED"/>
    <w:rsid w:val="00F16F11"/>
    <w:rsid w:val="02641DFB"/>
    <w:rsid w:val="036D1000"/>
    <w:rsid w:val="06300FCF"/>
    <w:rsid w:val="06D118A6"/>
    <w:rsid w:val="09954E0D"/>
    <w:rsid w:val="09D678FF"/>
    <w:rsid w:val="09D960CB"/>
    <w:rsid w:val="0A36214C"/>
    <w:rsid w:val="0AE32D0C"/>
    <w:rsid w:val="0AF85A36"/>
    <w:rsid w:val="0B0B783B"/>
    <w:rsid w:val="0D4C745D"/>
    <w:rsid w:val="0E7124A2"/>
    <w:rsid w:val="0F766A43"/>
    <w:rsid w:val="0FB93D29"/>
    <w:rsid w:val="10A75028"/>
    <w:rsid w:val="1165300E"/>
    <w:rsid w:val="11F82237"/>
    <w:rsid w:val="1571008C"/>
    <w:rsid w:val="158D0E9C"/>
    <w:rsid w:val="168F1B5B"/>
    <w:rsid w:val="175A6EDF"/>
    <w:rsid w:val="19420BCC"/>
    <w:rsid w:val="1BAB6E96"/>
    <w:rsid w:val="1BFB36D7"/>
    <w:rsid w:val="1EEF22CE"/>
    <w:rsid w:val="21635B7C"/>
    <w:rsid w:val="21BF3E1B"/>
    <w:rsid w:val="2342170A"/>
    <w:rsid w:val="23D031BA"/>
    <w:rsid w:val="27054585"/>
    <w:rsid w:val="28F95B02"/>
    <w:rsid w:val="2A202079"/>
    <w:rsid w:val="2A625FBA"/>
    <w:rsid w:val="2CD05FD9"/>
    <w:rsid w:val="2D572256"/>
    <w:rsid w:val="35B30245"/>
    <w:rsid w:val="37C352F8"/>
    <w:rsid w:val="37F300FB"/>
    <w:rsid w:val="38B62526"/>
    <w:rsid w:val="38BD5663"/>
    <w:rsid w:val="398751B7"/>
    <w:rsid w:val="3BB53D35"/>
    <w:rsid w:val="3D7106DB"/>
    <w:rsid w:val="3FF71FE3"/>
    <w:rsid w:val="413E57AF"/>
    <w:rsid w:val="45B42AAD"/>
    <w:rsid w:val="45EC7588"/>
    <w:rsid w:val="46B604C6"/>
    <w:rsid w:val="46E13E64"/>
    <w:rsid w:val="47170634"/>
    <w:rsid w:val="474B479A"/>
    <w:rsid w:val="48913C3F"/>
    <w:rsid w:val="49530C2E"/>
    <w:rsid w:val="496038EF"/>
    <w:rsid w:val="499B72F7"/>
    <w:rsid w:val="4B31527F"/>
    <w:rsid w:val="4C9F6E07"/>
    <w:rsid w:val="4D055F81"/>
    <w:rsid w:val="4E9B7D9D"/>
    <w:rsid w:val="4FF57980"/>
    <w:rsid w:val="53966503"/>
    <w:rsid w:val="546F6672"/>
    <w:rsid w:val="562D5A32"/>
    <w:rsid w:val="567B5594"/>
    <w:rsid w:val="575D15B4"/>
    <w:rsid w:val="591744C4"/>
    <w:rsid w:val="5A160C1F"/>
    <w:rsid w:val="5A333D00"/>
    <w:rsid w:val="5C2667BC"/>
    <w:rsid w:val="5D233C79"/>
    <w:rsid w:val="60E0197E"/>
    <w:rsid w:val="6221580D"/>
    <w:rsid w:val="63727F71"/>
    <w:rsid w:val="64844FF7"/>
    <w:rsid w:val="649F2FD7"/>
    <w:rsid w:val="668E174E"/>
    <w:rsid w:val="67892434"/>
    <w:rsid w:val="687B4BF8"/>
    <w:rsid w:val="6ABC6060"/>
    <w:rsid w:val="6E803840"/>
    <w:rsid w:val="6EDB52A7"/>
    <w:rsid w:val="76BE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2597</Words>
  <Characters>2631</Characters>
  <Lines>3</Lines>
  <Paragraphs>1</Paragraphs>
  <TotalTime>0</TotalTime>
  <ScaleCrop>false</ScaleCrop>
  <LinksUpToDate>false</LinksUpToDate>
  <CharactersWithSpaces>2634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2023-05-06T03:14:00Z</dcterms:created>
  <dc:creator>Shine_ZHOU</dc:creator>
  <cp:lastModifiedBy>加菲</cp:lastModifiedBy>
  <dcterms:modified xsi:type="dcterms:W3CDTF">2026-02-28T12:40:24Z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89BE444AC31A41DE92AD2CE08303C9EE</vt:lpwstr>
  </property>
  <property fmtid="{D5CDD505-2E9C-101B-9397-08002B2CF9AE}" pid="4" name="KSOTemplateDocerSaveRecord">
    <vt:lpwstr>eyJoZGlkIjoiZmI2YzIwMjA3ZGE1YTAxNDFkOTkwMDdmM2YwMTRhMGEiLCJ1c2VySWQiOiI0ODQwMTk5MjAifQ==</vt:lpwstr>
  </property>
</Properties>
</file>